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C2F79" w14:textId="77777777" w:rsidR="00431A10" w:rsidRDefault="00431A10" w:rsidP="00431A10">
      <w:pPr>
        <w:spacing w:before="240"/>
        <w:jc w:val="center"/>
        <w:rPr>
          <w:rFonts w:ascii="URW Palladio L" w:hAnsi="URW Palladio L" w:cs="Times New Roman"/>
          <w:sz w:val="20"/>
          <w:szCs w:val="20"/>
        </w:rPr>
      </w:pPr>
      <w:bookmarkStart w:id="0" w:name="Table1"/>
      <w:r w:rsidRPr="00271316">
        <w:rPr>
          <w:rFonts w:ascii="URW Palladio L" w:hAnsi="URW Palladio L" w:cs="Times New Roman"/>
          <w:sz w:val="20"/>
          <w:szCs w:val="20"/>
        </w:rPr>
        <w:t xml:space="preserve">Table 1: </w:t>
      </w:r>
      <w:proofErr w:type="spellStart"/>
      <w:r w:rsidRPr="00271316">
        <w:rPr>
          <w:rFonts w:ascii="URW Palladio L" w:hAnsi="URW Palladio L" w:cs="Times New Roman"/>
          <w:sz w:val="20"/>
          <w:szCs w:val="20"/>
        </w:rPr>
        <w:t>Different</w:t>
      </w:r>
      <w:proofErr w:type="spellEnd"/>
      <w:r w:rsidRPr="00271316">
        <w:rPr>
          <w:rFonts w:ascii="URW Palladio L" w:hAnsi="URW Palladio L" w:cs="Times New Roman"/>
          <w:sz w:val="20"/>
          <w:szCs w:val="20"/>
        </w:rPr>
        <w:t xml:space="preserve"> </w:t>
      </w:r>
      <w:proofErr w:type="spellStart"/>
      <w:r w:rsidRPr="00271316">
        <w:rPr>
          <w:rFonts w:ascii="URW Palladio L" w:hAnsi="URW Palladio L" w:cs="Times New Roman"/>
          <w:sz w:val="20"/>
          <w:szCs w:val="20"/>
        </w:rPr>
        <w:t>techniques</w:t>
      </w:r>
      <w:proofErr w:type="spellEnd"/>
      <w:r w:rsidRPr="00271316">
        <w:rPr>
          <w:rFonts w:ascii="URW Palladio L" w:hAnsi="URW Palladio L" w:cs="Times New Roman"/>
          <w:sz w:val="20"/>
          <w:szCs w:val="20"/>
        </w:rPr>
        <w:t xml:space="preserve"> </w:t>
      </w:r>
      <w:proofErr w:type="spellStart"/>
      <w:r w:rsidRPr="00271316">
        <w:rPr>
          <w:rFonts w:ascii="URW Palladio L" w:hAnsi="URW Palladio L" w:cs="Times New Roman"/>
          <w:sz w:val="20"/>
          <w:szCs w:val="20"/>
        </w:rPr>
        <w:t>prevailing</w:t>
      </w:r>
      <w:proofErr w:type="spellEnd"/>
      <w:r w:rsidRPr="00271316">
        <w:rPr>
          <w:rFonts w:ascii="URW Palladio L" w:hAnsi="URW Palladio L" w:cs="Times New Roman"/>
          <w:sz w:val="20"/>
          <w:szCs w:val="20"/>
        </w:rPr>
        <w:t xml:space="preserve"> in </w:t>
      </w:r>
      <w:proofErr w:type="spellStart"/>
      <w:r w:rsidRPr="00271316">
        <w:rPr>
          <w:rFonts w:ascii="URW Palladio L" w:hAnsi="URW Palladio L" w:cs="Times New Roman"/>
          <w:sz w:val="20"/>
          <w:szCs w:val="20"/>
        </w:rPr>
        <w:t>literature</w:t>
      </w:r>
      <w:proofErr w:type="spellEnd"/>
      <w:r w:rsidRPr="00271316">
        <w:rPr>
          <w:rFonts w:ascii="URW Palladio L" w:hAnsi="URW Palladio L" w:cs="Times New Roman"/>
          <w:sz w:val="20"/>
          <w:szCs w:val="20"/>
        </w:rPr>
        <w:t xml:space="preserve"> </w:t>
      </w:r>
      <w:proofErr w:type="spellStart"/>
      <w:r w:rsidRPr="00271316">
        <w:rPr>
          <w:rFonts w:ascii="URW Palladio L" w:hAnsi="URW Palladio L" w:cs="Times New Roman"/>
          <w:sz w:val="20"/>
          <w:szCs w:val="20"/>
        </w:rPr>
        <w:t>for</w:t>
      </w:r>
      <w:proofErr w:type="spellEnd"/>
      <w:r w:rsidRPr="00271316">
        <w:rPr>
          <w:rFonts w:ascii="URW Palladio L" w:hAnsi="URW Palladio L" w:cs="Times New Roman"/>
          <w:sz w:val="20"/>
          <w:szCs w:val="20"/>
        </w:rPr>
        <w:t xml:space="preserve"> EMS</w:t>
      </w:r>
    </w:p>
    <w:tbl>
      <w:tblPr>
        <w:tblStyle w:val="Tablaconcuadrcula"/>
        <w:tblW w:w="8949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701"/>
        <w:gridCol w:w="1559"/>
        <w:gridCol w:w="1583"/>
      </w:tblGrid>
      <w:tr w:rsidR="00431A10" w:rsidRPr="00DD53CB" w14:paraId="62F97A7E" w14:textId="77777777" w:rsidTr="00CE758C">
        <w:trPr>
          <w:trHeight w:val="538"/>
          <w:jc w:val="center"/>
        </w:trPr>
        <w:tc>
          <w:tcPr>
            <w:tcW w:w="1271" w:type="dxa"/>
            <w:vAlign w:val="center"/>
          </w:tcPr>
          <w:bookmarkEnd w:id="0"/>
          <w:p w14:paraId="64ADDC9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EMS</w:t>
            </w:r>
          </w:p>
          <w:p w14:paraId="7CF383BC" w14:textId="77777777" w:rsidR="00431A10" w:rsidRPr="00DD53CB" w:rsidRDefault="00431A10" w:rsidP="00CE758C">
            <w:pPr>
              <w:jc w:val="center"/>
              <w:rPr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T</w:t>
            </w:r>
            <w:r w:rsidRPr="00DD53CB">
              <w:rPr>
                <w:b/>
                <w:bCs/>
                <w:sz w:val="18"/>
                <w:szCs w:val="18"/>
              </w:rPr>
              <w:t>ype</w:t>
            </w:r>
          </w:p>
        </w:tc>
        <w:tc>
          <w:tcPr>
            <w:tcW w:w="1418" w:type="dxa"/>
            <w:vAlign w:val="center"/>
          </w:tcPr>
          <w:p w14:paraId="2511B41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Optimization</w:t>
            </w:r>
          </w:p>
          <w:p w14:paraId="3335B1E4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Objective</w:t>
            </w:r>
          </w:p>
        </w:tc>
        <w:tc>
          <w:tcPr>
            <w:tcW w:w="1417" w:type="dxa"/>
            <w:vAlign w:val="center"/>
          </w:tcPr>
          <w:p w14:paraId="2DF636C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Optimization</w:t>
            </w:r>
          </w:p>
          <w:p w14:paraId="599FED3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Algorithm</w:t>
            </w:r>
          </w:p>
        </w:tc>
        <w:tc>
          <w:tcPr>
            <w:tcW w:w="1701" w:type="dxa"/>
            <w:vAlign w:val="center"/>
          </w:tcPr>
          <w:p w14:paraId="675C6C63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Major</w:t>
            </w:r>
          </w:p>
          <w:p w14:paraId="5FB6F32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Consideration</w:t>
            </w:r>
          </w:p>
        </w:tc>
        <w:tc>
          <w:tcPr>
            <w:tcW w:w="1559" w:type="dxa"/>
            <w:vAlign w:val="center"/>
          </w:tcPr>
          <w:p w14:paraId="089AC2D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Ref</w:t>
            </w:r>
          </w:p>
        </w:tc>
        <w:tc>
          <w:tcPr>
            <w:tcW w:w="1583" w:type="dxa"/>
            <w:vAlign w:val="center"/>
          </w:tcPr>
          <w:p w14:paraId="343150E7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</w:pPr>
            <w:r w:rsidRPr="00DD53CB">
              <w:rPr>
                <w:rFonts w:ascii="URW Palladio L" w:hAnsi="URW Palladio L" w:cs="Times New Roman"/>
                <w:b/>
                <w:bCs/>
                <w:sz w:val="18"/>
                <w:szCs w:val="18"/>
              </w:rPr>
              <w:t>Limitations</w:t>
            </w:r>
          </w:p>
        </w:tc>
      </w:tr>
      <w:tr w:rsidR="00431A10" w:rsidRPr="00DD53CB" w14:paraId="13FD4FC1" w14:textId="77777777" w:rsidTr="00CE758C">
        <w:trPr>
          <w:trHeight w:val="263"/>
          <w:jc w:val="center"/>
        </w:trPr>
        <w:tc>
          <w:tcPr>
            <w:tcW w:w="1271" w:type="dxa"/>
            <w:vMerge w:val="restart"/>
            <w:vAlign w:val="center"/>
          </w:tcPr>
          <w:p w14:paraId="17DD260B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Centralized</w:t>
            </w:r>
          </w:p>
        </w:tc>
        <w:tc>
          <w:tcPr>
            <w:tcW w:w="1418" w:type="dxa"/>
            <w:vAlign w:val="center"/>
          </w:tcPr>
          <w:p w14:paraId="1A09278D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</w:t>
            </w:r>
          </w:p>
          <w:p w14:paraId="6C3EFE7F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minimization</w:t>
            </w:r>
          </w:p>
        </w:tc>
        <w:tc>
          <w:tcPr>
            <w:tcW w:w="1417" w:type="dxa"/>
            <w:vAlign w:val="center"/>
          </w:tcPr>
          <w:p w14:paraId="47B649C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Particle</w:t>
            </w:r>
          </w:p>
          <w:p w14:paraId="3738D95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swarm</w:t>
            </w:r>
          </w:p>
          <w:p w14:paraId="1AF5CE99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optimization</w:t>
            </w:r>
          </w:p>
        </w:tc>
        <w:tc>
          <w:tcPr>
            <w:tcW w:w="1701" w:type="dxa"/>
            <w:vAlign w:val="center"/>
          </w:tcPr>
          <w:p w14:paraId="630372B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1.Uncertainties in load and renewable power</w:t>
            </w:r>
          </w:p>
          <w:p w14:paraId="165493A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2.Grid–connected mode only</w:t>
            </w:r>
          </w:p>
        </w:tc>
        <w:tc>
          <w:tcPr>
            <w:tcW w:w="1559" w:type="dxa"/>
            <w:vAlign w:val="center"/>
          </w:tcPr>
          <w:p w14:paraId="45B01CFE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9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-1352789803"/>
                  <w:citation/>
                </w:sdtPr>
                <w:sdtContent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Nik15 \l 9226 </w:instrText>
                  </w:r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1C0A67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(Nikmehr &amp; Ravadanegh, Optimal Power Dispatch of Multi-Microgrids at Future Smart Distribution Grids, 2015)</w:t>
                  </w:r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 w:val="restart"/>
            <w:vAlign w:val="center"/>
          </w:tcPr>
          <w:p w14:paraId="10551B23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 Increase in computational burden of central EMS</w:t>
            </w:r>
          </w:p>
          <w:p w14:paraId="2BFEBF8B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 Failure to preserve customer privacy of microgrids</w:t>
            </w:r>
          </w:p>
          <w:p w14:paraId="6707095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3. Requirement of extensive communication setup</w:t>
            </w:r>
          </w:p>
        </w:tc>
      </w:tr>
      <w:tr w:rsidR="00431A10" w:rsidRPr="00DD53CB" w14:paraId="1942C40B" w14:textId="77777777" w:rsidTr="00CE758C">
        <w:trPr>
          <w:trHeight w:val="384"/>
          <w:jc w:val="center"/>
        </w:trPr>
        <w:tc>
          <w:tcPr>
            <w:tcW w:w="1271" w:type="dxa"/>
            <w:vMerge/>
            <w:vAlign w:val="center"/>
          </w:tcPr>
          <w:p w14:paraId="77E9651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FD83C9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</w:t>
            </w:r>
          </w:p>
          <w:p w14:paraId="35990B8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minimization</w:t>
            </w:r>
          </w:p>
          <w:p w14:paraId="4B5B128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and reliability</w:t>
            </w:r>
          </w:p>
          <w:p w14:paraId="7FE1B30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maximization</w:t>
            </w:r>
          </w:p>
        </w:tc>
        <w:tc>
          <w:tcPr>
            <w:tcW w:w="1417" w:type="dxa"/>
            <w:vAlign w:val="center"/>
          </w:tcPr>
          <w:p w14:paraId="109D2CE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Imperialistic</w:t>
            </w:r>
          </w:p>
          <w:p w14:paraId="78D006A9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competitive</w:t>
            </w:r>
          </w:p>
          <w:p w14:paraId="5F9C6772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algorithm</w:t>
            </w:r>
          </w:p>
        </w:tc>
        <w:tc>
          <w:tcPr>
            <w:tcW w:w="1701" w:type="dxa"/>
            <w:vAlign w:val="center"/>
          </w:tcPr>
          <w:p w14:paraId="0E39698B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1.Load–generation uncertainties</w:t>
            </w:r>
          </w:p>
          <w:p w14:paraId="4B92A6E7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2.Both gird-connected and islanded modes</w:t>
            </w:r>
          </w:p>
        </w:tc>
        <w:tc>
          <w:tcPr>
            <w:tcW w:w="1559" w:type="dxa"/>
            <w:vAlign w:val="center"/>
          </w:tcPr>
          <w:p w14:paraId="5419C89A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0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1257868926"/>
                  <w:citation/>
                </w:sdtPr>
                <w:sdtContent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Nik16 \l 9226 </w:instrText>
                  </w:r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1C0A67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(Nikmehr &amp; Ravadanegh, Reliability evaluation of multi-microgrids considering optimal operation of small scale energy zones under load-generation uncertainties, 2016)</w:t>
                  </w:r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/>
            <w:vAlign w:val="center"/>
          </w:tcPr>
          <w:p w14:paraId="7C31B03B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</w:tr>
      <w:tr w:rsidR="00431A10" w:rsidRPr="00DD53CB" w14:paraId="27BAE309" w14:textId="77777777" w:rsidTr="00CE758C">
        <w:trPr>
          <w:trHeight w:val="70"/>
          <w:jc w:val="center"/>
        </w:trPr>
        <w:tc>
          <w:tcPr>
            <w:tcW w:w="1271" w:type="dxa"/>
            <w:vMerge/>
            <w:vAlign w:val="center"/>
          </w:tcPr>
          <w:p w14:paraId="3167902C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12A7F9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System</w:t>
            </w:r>
          </w:p>
          <w:p w14:paraId="7FC2D9F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Reliability</w:t>
            </w:r>
          </w:p>
          <w:p w14:paraId="712FCE5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maximization</w:t>
            </w:r>
          </w:p>
        </w:tc>
        <w:tc>
          <w:tcPr>
            <w:tcW w:w="1417" w:type="dxa"/>
            <w:vMerge w:val="restart"/>
            <w:vAlign w:val="center"/>
          </w:tcPr>
          <w:p w14:paraId="520BA6B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Mixed</w:t>
            </w:r>
          </w:p>
          <w:p w14:paraId="24077C7F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integer linear</w:t>
            </w:r>
          </w:p>
          <w:p w14:paraId="4E3FC89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programming</w:t>
            </w:r>
          </w:p>
          <w:p w14:paraId="7FFF020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(MILP)</w:t>
            </w:r>
          </w:p>
        </w:tc>
        <w:tc>
          <w:tcPr>
            <w:tcW w:w="1701" w:type="dxa"/>
            <w:vAlign w:val="center"/>
          </w:tcPr>
          <w:p w14:paraId="74FD90B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1.Detalled modeling of unbalanced systems</w:t>
            </w:r>
          </w:p>
          <w:p w14:paraId="3EA5DC74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2.Islanded mode only</w:t>
            </w:r>
          </w:p>
        </w:tc>
        <w:tc>
          <w:tcPr>
            <w:tcW w:w="1559" w:type="dxa"/>
            <w:vAlign w:val="center"/>
          </w:tcPr>
          <w:p w14:paraId="7C07207C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1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-1368445007"/>
                  <w:citation/>
                </w:sdtPr>
                <w:sdtContent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Oli14 \l 9226 </w:instrText>
                  </w:r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1C0A67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(Olivares, Cañizares, &amp; Kazerani, 2014)</w:t>
                  </w:r>
                  <w:r w:rsidRPr="001C0A67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/>
            <w:vAlign w:val="center"/>
          </w:tcPr>
          <w:p w14:paraId="387626CA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</w:tr>
      <w:tr w:rsidR="00431A10" w:rsidRPr="00DD53CB" w14:paraId="480F6889" w14:textId="77777777" w:rsidTr="00CE758C">
        <w:trPr>
          <w:trHeight w:val="70"/>
          <w:jc w:val="center"/>
        </w:trPr>
        <w:tc>
          <w:tcPr>
            <w:tcW w:w="1271" w:type="dxa"/>
            <w:vMerge w:val="restart"/>
            <w:vAlign w:val="center"/>
          </w:tcPr>
          <w:p w14:paraId="47A486F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Centralized</w:t>
            </w:r>
          </w:p>
          <w:p w14:paraId="0DDAA28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With</w:t>
            </w:r>
          </w:p>
          <w:p w14:paraId="1798CA24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Sequential</w:t>
            </w:r>
          </w:p>
          <w:p w14:paraId="5B8F7F0C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operation</w:t>
            </w:r>
          </w:p>
        </w:tc>
        <w:tc>
          <w:tcPr>
            <w:tcW w:w="1418" w:type="dxa"/>
            <w:vAlign w:val="center"/>
          </w:tcPr>
          <w:p w14:paraId="2B09E38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</w:t>
            </w:r>
          </w:p>
          <w:p w14:paraId="35696DCF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minimization</w:t>
            </w:r>
          </w:p>
        </w:tc>
        <w:tc>
          <w:tcPr>
            <w:tcW w:w="1417" w:type="dxa"/>
            <w:vMerge/>
            <w:vAlign w:val="center"/>
          </w:tcPr>
          <w:p w14:paraId="28A65C8B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38F8C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1.Distribution of computational burden</w:t>
            </w:r>
          </w:p>
          <w:p w14:paraId="51AC60DA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2.Grid-connected mode only</w:t>
            </w:r>
          </w:p>
        </w:tc>
        <w:tc>
          <w:tcPr>
            <w:tcW w:w="1559" w:type="dxa"/>
            <w:vAlign w:val="center"/>
          </w:tcPr>
          <w:p w14:paraId="5D0C696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2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-723526330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Son15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(Song, Lee, Kim, Im, &amp; Lee, 2015)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 w:val="restart"/>
            <w:vAlign w:val="center"/>
          </w:tcPr>
          <w:p w14:paraId="4033947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1.Failure to preserve privacy of microgrids</w:t>
            </w:r>
          </w:p>
          <w:p w14:paraId="15D2839A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 Requirement of extensive communication setup</w:t>
            </w:r>
          </w:p>
        </w:tc>
      </w:tr>
      <w:tr w:rsidR="00431A10" w:rsidRPr="00DD53CB" w14:paraId="0AD3CB76" w14:textId="77777777" w:rsidTr="00CE758C">
        <w:trPr>
          <w:trHeight w:val="70"/>
          <w:jc w:val="center"/>
        </w:trPr>
        <w:tc>
          <w:tcPr>
            <w:tcW w:w="1271" w:type="dxa"/>
            <w:vMerge/>
            <w:vAlign w:val="center"/>
          </w:tcPr>
          <w:p w14:paraId="122A3573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5142E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</w:t>
            </w:r>
          </w:p>
          <w:p w14:paraId="6080BF1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minimization</w:t>
            </w:r>
          </w:p>
        </w:tc>
        <w:tc>
          <w:tcPr>
            <w:tcW w:w="1417" w:type="dxa"/>
            <w:vAlign w:val="center"/>
          </w:tcPr>
          <w:p w14:paraId="462F6BC2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Sequential</w:t>
            </w:r>
          </w:p>
          <w:p w14:paraId="2445D73B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quadratic</w:t>
            </w:r>
          </w:p>
          <w:p w14:paraId="265EBF89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programming</w:t>
            </w:r>
          </w:p>
        </w:tc>
        <w:tc>
          <w:tcPr>
            <w:tcW w:w="1701" w:type="dxa"/>
            <w:vAlign w:val="center"/>
          </w:tcPr>
          <w:p w14:paraId="1BE6C117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1.demand bidding and three level control</w:t>
            </w:r>
          </w:p>
          <w:p w14:paraId="7E8A4C6B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2.Grid- connected mode only</w:t>
            </w:r>
          </w:p>
        </w:tc>
        <w:tc>
          <w:tcPr>
            <w:tcW w:w="1559" w:type="dxa"/>
            <w:vAlign w:val="center"/>
          </w:tcPr>
          <w:p w14:paraId="1AA2A68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3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-1119521778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Tsi11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(Tsikalakis &amp; Hatziargyriou, 2011)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/>
            <w:vAlign w:val="center"/>
          </w:tcPr>
          <w:p w14:paraId="6CDA3944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</w:tr>
      <w:tr w:rsidR="00431A10" w:rsidRPr="00DD53CB" w14:paraId="73DDAF0A" w14:textId="77777777" w:rsidTr="00CE758C">
        <w:trPr>
          <w:trHeight w:val="369"/>
          <w:jc w:val="center"/>
        </w:trPr>
        <w:tc>
          <w:tcPr>
            <w:tcW w:w="1271" w:type="dxa"/>
            <w:vMerge w:val="restart"/>
            <w:vAlign w:val="center"/>
          </w:tcPr>
          <w:p w14:paraId="7A3114C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Decentralized</w:t>
            </w:r>
          </w:p>
        </w:tc>
        <w:tc>
          <w:tcPr>
            <w:tcW w:w="1418" w:type="dxa"/>
            <w:vAlign w:val="center"/>
          </w:tcPr>
          <w:p w14:paraId="47F6145E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</w:t>
            </w:r>
          </w:p>
          <w:p w14:paraId="4678357C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minimization</w:t>
            </w:r>
          </w:p>
        </w:tc>
        <w:tc>
          <w:tcPr>
            <w:tcW w:w="1417" w:type="dxa"/>
            <w:vMerge w:val="restart"/>
            <w:vAlign w:val="center"/>
          </w:tcPr>
          <w:p w14:paraId="0CA8C00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Multi-agent system with contract net protocol</w:t>
            </w:r>
          </w:p>
        </w:tc>
        <w:tc>
          <w:tcPr>
            <w:tcW w:w="1701" w:type="dxa"/>
            <w:vAlign w:val="center"/>
          </w:tcPr>
          <w:p w14:paraId="40DA6D5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1.Autonomous operation and customer privacy</w:t>
            </w:r>
          </w:p>
        </w:tc>
        <w:tc>
          <w:tcPr>
            <w:tcW w:w="1559" w:type="dxa"/>
            <w:vAlign w:val="center"/>
          </w:tcPr>
          <w:p w14:paraId="16A12B9A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4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-872995268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Kim12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(Kim, Lim, &amp; Kinoshita, An Intelligent Multiagent System for Autonomous Microgrid Operation, 2012)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 w:val="restart"/>
            <w:vAlign w:val="center"/>
          </w:tcPr>
          <w:p w14:paraId="40125EA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 xml:space="preserve">1. Unawareness of system level resources </w:t>
            </w:r>
          </w:p>
          <w:p w14:paraId="1BC51C5C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 xml:space="preserve">2. Due to individual objectives, equilibrium may </w:t>
            </w:r>
            <w:proofErr w:type="gramStart"/>
            <w:r w:rsidRPr="00DD53CB">
              <w:rPr>
                <w:rFonts w:ascii="URW Palladio L" w:hAnsi="URW Palladio L" w:cs="Times New Roman"/>
                <w:sz w:val="16"/>
                <w:szCs w:val="16"/>
              </w:rPr>
              <w:t>exist</w:t>
            </w:r>
            <w:proofErr w:type="gramEnd"/>
            <w:r w:rsidRPr="00DD53CB">
              <w:rPr>
                <w:rFonts w:ascii="URW Palladio L" w:hAnsi="URW Palladio L" w:cs="Times New Roman"/>
                <w:sz w:val="16"/>
                <w:szCs w:val="16"/>
              </w:rPr>
              <w:t xml:space="preserve"> and further optimization may not be possible</w:t>
            </w:r>
          </w:p>
        </w:tc>
      </w:tr>
      <w:tr w:rsidR="00431A10" w:rsidRPr="00DD53CB" w14:paraId="32ABA87F" w14:textId="77777777" w:rsidTr="00CE758C">
        <w:trPr>
          <w:trHeight w:val="356"/>
          <w:jc w:val="center"/>
        </w:trPr>
        <w:tc>
          <w:tcPr>
            <w:tcW w:w="1271" w:type="dxa"/>
            <w:vMerge/>
            <w:vAlign w:val="center"/>
          </w:tcPr>
          <w:p w14:paraId="1A9106A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B7E27E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Minimization of load shedding</w:t>
            </w:r>
          </w:p>
        </w:tc>
        <w:tc>
          <w:tcPr>
            <w:tcW w:w="1417" w:type="dxa"/>
            <w:vMerge/>
            <w:vAlign w:val="center"/>
          </w:tcPr>
          <w:p w14:paraId="5178E8B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684B8BB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1.Competitive environment among suppliers</w:t>
            </w:r>
          </w:p>
          <w:p w14:paraId="4CAFA843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2.Islanded mode only</w:t>
            </w:r>
          </w:p>
        </w:tc>
        <w:tc>
          <w:tcPr>
            <w:tcW w:w="1559" w:type="dxa"/>
            <w:vAlign w:val="center"/>
          </w:tcPr>
          <w:p w14:paraId="09D6F36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5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248160798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Kim10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(Kim, Kinoshita, &amp; Shin, A Multiagent System for Autonomous Operation of Islanded Microgrids Based on a Power Market Environment, 2010)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/>
            <w:vAlign w:val="center"/>
          </w:tcPr>
          <w:p w14:paraId="164365F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</w:tr>
      <w:tr w:rsidR="00431A10" w:rsidRPr="00DD53CB" w14:paraId="4A76BE9C" w14:textId="77777777" w:rsidTr="00CE758C">
        <w:trPr>
          <w:trHeight w:val="670"/>
          <w:jc w:val="center"/>
        </w:trPr>
        <w:tc>
          <w:tcPr>
            <w:tcW w:w="1271" w:type="dxa"/>
            <w:vMerge/>
            <w:vAlign w:val="center"/>
          </w:tcPr>
          <w:p w14:paraId="7E6BDBF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E265AE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</w:t>
            </w:r>
          </w:p>
          <w:p w14:paraId="2A637AAF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minimization and reliability maximization</w:t>
            </w:r>
          </w:p>
        </w:tc>
        <w:tc>
          <w:tcPr>
            <w:tcW w:w="1417" w:type="dxa"/>
            <w:vAlign w:val="center"/>
          </w:tcPr>
          <w:p w14:paraId="4566677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Stochastic optimization</w:t>
            </w:r>
          </w:p>
        </w:tc>
        <w:tc>
          <w:tcPr>
            <w:tcW w:w="1701" w:type="dxa"/>
            <w:vAlign w:val="center"/>
          </w:tcPr>
          <w:p w14:paraId="049B01B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1.2-layered stochastic model and uncertainties</w:t>
            </w:r>
          </w:p>
          <w:p w14:paraId="499C9A2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2.Both grid-connected and islanded modes</w:t>
            </w:r>
          </w:p>
        </w:tc>
        <w:tc>
          <w:tcPr>
            <w:tcW w:w="1559" w:type="dxa"/>
            <w:vAlign w:val="center"/>
          </w:tcPr>
          <w:p w14:paraId="17D27C2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6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-2034870750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Wan16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(Wang, Chen, Wang, &amp; kim, Decentralized Energy Management System for Networked Microgrids in Grid-Connected and Islanded Modes, 2016)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/>
            <w:vAlign w:val="center"/>
          </w:tcPr>
          <w:p w14:paraId="00F17734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</w:tr>
      <w:tr w:rsidR="00431A10" w:rsidRPr="00DD53CB" w14:paraId="7B985605" w14:textId="77777777" w:rsidTr="00CE758C">
        <w:trPr>
          <w:trHeight w:val="668"/>
          <w:jc w:val="center"/>
        </w:trPr>
        <w:tc>
          <w:tcPr>
            <w:tcW w:w="1271" w:type="dxa"/>
            <w:vMerge/>
            <w:vAlign w:val="center"/>
          </w:tcPr>
          <w:p w14:paraId="487B53C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497D7D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Supply adequate maximization</w:t>
            </w:r>
          </w:p>
        </w:tc>
        <w:tc>
          <w:tcPr>
            <w:tcW w:w="1417" w:type="dxa"/>
            <w:vAlign w:val="center"/>
          </w:tcPr>
          <w:p w14:paraId="246004D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Average consensus algorithm</w:t>
            </w:r>
          </w:p>
        </w:tc>
        <w:tc>
          <w:tcPr>
            <w:tcW w:w="1701" w:type="dxa"/>
            <w:vAlign w:val="center"/>
          </w:tcPr>
          <w:p w14:paraId="12A6A38B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1.Self-healing and autonomous operation</w:t>
            </w:r>
          </w:p>
          <w:p w14:paraId="1DDCD38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lastRenderedPageBreak/>
              <w:t>2.Both grid-connected and islanded modes</w:t>
            </w:r>
          </w:p>
        </w:tc>
        <w:tc>
          <w:tcPr>
            <w:tcW w:w="1559" w:type="dxa"/>
            <w:vAlign w:val="center"/>
          </w:tcPr>
          <w:p w14:paraId="3BAAC4B2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7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1772824689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Wan161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 xml:space="preserve">(Wang, Chen, Wang, &amp; Chen, Networked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lastRenderedPageBreak/>
                    <w:t>Microgrids for Self-Healing Power Systems, 2016)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/>
            <w:vAlign w:val="center"/>
          </w:tcPr>
          <w:p w14:paraId="2148A96C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</w:tr>
      <w:tr w:rsidR="00431A10" w:rsidRPr="00DD53CB" w14:paraId="730B8ABA" w14:textId="77777777" w:rsidTr="00CE758C">
        <w:trPr>
          <w:trHeight w:val="924"/>
          <w:jc w:val="center"/>
        </w:trPr>
        <w:tc>
          <w:tcPr>
            <w:tcW w:w="1271" w:type="dxa"/>
            <w:vMerge w:val="restart"/>
            <w:vAlign w:val="center"/>
          </w:tcPr>
          <w:p w14:paraId="1E28EA17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Hybrid</w:t>
            </w:r>
          </w:p>
        </w:tc>
        <w:tc>
          <w:tcPr>
            <w:tcW w:w="1418" w:type="dxa"/>
            <w:vAlign w:val="center"/>
          </w:tcPr>
          <w:p w14:paraId="22A939F7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 minimization and reliability maximization</w:t>
            </w:r>
          </w:p>
        </w:tc>
        <w:tc>
          <w:tcPr>
            <w:tcW w:w="1417" w:type="dxa"/>
            <w:vMerge w:val="restart"/>
            <w:vAlign w:val="center"/>
          </w:tcPr>
          <w:p w14:paraId="512188C1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MILP</w:t>
            </w:r>
          </w:p>
        </w:tc>
        <w:tc>
          <w:tcPr>
            <w:tcW w:w="1701" w:type="dxa"/>
            <w:vAlign w:val="center"/>
          </w:tcPr>
          <w:p w14:paraId="0E882DA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 xml:space="preserve">1.Three-level control and dynamic conditions </w:t>
            </w:r>
          </w:p>
          <w:p w14:paraId="194C3BD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2.Both grid-connected and islanded modes</w:t>
            </w:r>
          </w:p>
        </w:tc>
        <w:tc>
          <w:tcPr>
            <w:tcW w:w="1559" w:type="dxa"/>
            <w:vAlign w:val="center"/>
          </w:tcPr>
          <w:p w14:paraId="1CA01DE4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8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-1995178370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Zha15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(Zhang, Zhao, &amp; Hong, 2015)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 w:val="restart"/>
            <w:vAlign w:val="center"/>
          </w:tcPr>
          <w:p w14:paraId="45A7808E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 xml:space="preserve">1. Parallel operation of microgrids </w:t>
            </w:r>
          </w:p>
          <w:p w14:paraId="45FBA16D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 xml:space="preserve">2. Single-level privacy of customers, easy to reveal </w:t>
            </w:r>
          </w:p>
          <w:p w14:paraId="616CA44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3. Reduction in resiliency of disconnected microgrids</w:t>
            </w:r>
          </w:p>
          <w:p w14:paraId="1FE6C47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4. Central EMS failure results in autonomous operation</w:t>
            </w:r>
          </w:p>
        </w:tc>
      </w:tr>
      <w:tr w:rsidR="00431A10" w:rsidRPr="00DD53CB" w14:paraId="369C2F43" w14:textId="77777777" w:rsidTr="00CE758C">
        <w:trPr>
          <w:jc w:val="center"/>
        </w:trPr>
        <w:tc>
          <w:tcPr>
            <w:tcW w:w="1271" w:type="dxa"/>
            <w:vMerge/>
            <w:vAlign w:val="center"/>
          </w:tcPr>
          <w:p w14:paraId="1CD5F3B0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6F272FD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 Minimization</w:t>
            </w:r>
          </w:p>
        </w:tc>
        <w:tc>
          <w:tcPr>
            <w:tcW w:w="1417" w:type="dxa"/>
            <w:vMerge/>
            <w:vAlign w:val="center"/>
          </w:tcPr>
          <w:p w14:paraId="2E323BC3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82B783D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 xml:space="preserve">1.Control of voltage, frequency, and power </w:t>
            </w:r>
          </w:p>
          <w:p w14:paraId="16B0922E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 Both grid-connected and islanded modes</w:t>
            </w:r>
          </w:p>
        </w:tc>
        <w:tc>
          <w:tcPr>
            <w:tcW w:w="1559" w:type="dxa"/>
            <w:vAlign w:val="center"/>
          </w:tcPr>
          <w:p w14:paraId="0EE4B64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19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474337189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Tia16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(Tian, Xiao, Wang, &amp; Ruoxing, 2016)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/>
            <w:vAlign w:val="center"/>
          </w:tcPr>
          <w:p w14:paraId="77313A72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</w:tr>
      <w:tr w:rsidR="00431A10" w:rsidRPr="00DD53CB" w14:paraId="6FAE3B17" w14:textId="77777777" w:rsidTr="00CE758C">
        <w:trPr>
          <w:jc w:val="center"/>
        </w:trPr>
        <w:tc>
          <w:tcPr>
            <w:tcW w:w="1271" w:type="dxa"/>
            <w:vMerge/>
            <w:vAlign w:val="center"/>
          </w:tcPr>
          <w:p w14:paraId="20CDDCF5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A25EA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 minimization and reliability maximization</w:t>
            </w:r>
          </w:p>
        </w:tc>
        <w:tc>
          <w:tcPr>
            <w:tcW w:w="1417" w:type="dxa"/>
            <w:vMerge/>
            <w:vAlign w:val="center"/>
          </w:tcPr>
          <w:p w14:paraId="3415D043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E3588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1.Hybrid microgrids and diversity gain</w:t>
            </w:r>
          </w:p>
          <w:p w14:paraId="03C82A1C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2.Both grid-connected and islanded modes</w:t>
            </w:r>
          </w:p>
        </w:tc>
        <w:tc>
          <w:tcPr>
            <w:tcW w:w="1559" w:type="dxa"/>
            <w:vAlign w:val="center"/>
          </w:tcPr>
          <w:p w14:paraId="3104195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20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1406491440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Che15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(Che, Shahidehpour, Alabdulwahab, &amp; Al-Turki, 2015)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/>
            <w:vAlign w:val="center"/>
          </w:tcPr>
          <w:p w14:paraId="054CD5AF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</w:tr>
      <w:tr w:rsidR="00431A10" w:rsidRPr="00DD53CB" w14:paraId="594F77E7" w14:textId="77777777" w:rsidTr="00CE758C">
        <w:trPr>
          <w:trHeight w:val="662"/>
          <w:jc w:val="center"/>
        </w:trPr>
        <w:tc>
          <w:tcPr>
            <w:tcW w:w="1271" w:type="dxa"/>
            <w:vMerge/>
            <w:vAlign w:val="center"/>
          </w:tcPr>
          <w:p w14:paraId="0A1DDB1E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6BC7D2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Cost Minimization</w:t>
            </w:r>
          </w:p>
        </w:tc>
        <w:tc>
          <w:tcPr>
            <w:tcW w:w="1417" w:type="dxa"/>
            <w:vMerge/>
            <w:vAlign w:val="center"/>
          </w:tcPr>
          <w:p w14:paraId="5FDD866C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07AD3D8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1. Load smothering and cooperative operation</w:t>
            </w:r>
          </w:p>
          <w:p w14:paraId="131DF3EB" w14:textId="77777777" w:rsidR="00431A10" w:rsidRPr="00DD53CB" w:rsidRDefault="00431A10" w:rsidP="00CE758C">
            <w:pPr>
              <w:jc w:val="center"/>
              <w:rPr>
                <w:sz w:val="16"/>
                <w:szCs w:val="16"/>
              </w:rPr>
            </w:pPr>
            <w:r w:rsidRPr="00DD53CB">
              <w:rPr>
                <w:rFonts w:ascii="URW Palladio L" w:hAnsi="URW Palladio L" w:cs="Times New Roman"/>
                <w:sz w:val="16"/>
                <w:szCs w:val="16"/>
              </w:rPr>
              <w:t>2.Islanded mode only</w:t>
            </w:r>
          </w:p>
        </w:tc>
        <w:tc>
          <w:tcPr>
            <w:tcW w:w="1559" w:type="dxa"/>
            <w:vAlign w:val="center"/>
          </w:tcPr>
          <w:p w14:paraId="7F2327CE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  <w:hyperlink w:anchor="Referencia21" w:history="1">
              <w:sdt>
                <w:sdtPr>
                  <w:rPr>
                    <w:rStyle w:val="Hipervnculo"/>
                    <w:rFonts w:ascii="URW Palladio L" w:hAnsi="URW Palladio L" w:cs="Times New Roman"/>
                    <w:sz w:val="16"/>
                    <w:szCs w:val="16"/>
                  </w:rPr>
                  <w:id w:val="-402536167"/>
                  <w:citation/>
                </w:sdtPr>
                <w:sdtContent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begin"/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  <w:lang w:val="es-CO"/>
                    </w:rPr>
                    <w:instrText xml:space="preserve"> CITATION Wan15 \l 9226 </w:instrTex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Style w:val="Hipervnculo"/>
                      <w:rFonts w:ascii="URW Palladio L" w:hAnsi="URW Palladio L" w:cs="Times New Roman"/>
                      <w:noProof/>
                      <w:sz w:val="16"/>
                      <w:szCs w:val="16"/>
                      <w:lang w:val="es-CO"/>
                    </w:rPr>
                    <w:t xml:space="preserve"> </w:t>
                  </w:r>
                  <w:r w:rsidRPr="00FB06BC">
                    <w:rPr>
                      <w:rFonts w:ascii="URW Palladio L" w:hAnsi="URW Palladio L" w:cs="Times New Roman"/>
                      <w:noProof/>
                      <w:color w:val="0563C1" w:themeColor="hyperlink"/>
                      <w:sz w:val="16"/>
                      <w:szCs w:val="16"/>
                      <w:lang w:val="es-CO"/>
                    </w:rPr>
                    <w:t>(Wang, Mao, &amp; Nelms, 2015)</w:t>
                  </w:r>
                  <w:r w:rsidRPr="00FB06BC">
                    <w:rPr>
                      <w:rStyle w:val="Hipervnculo"/>
                      <w:rFonts w:ascii="URW Palladio L" w:hAnsi="URW Palladio L" w:cs="Times New Roman"/>
                      <w:sz w:val="16"/>
                      <w:szCs w:val="16"/>
                    </w:rPr>
                    <w:fldChar w:fldCharType="end"/>
                  </w:r>
                </w:sdtContent>
              </w:sdt>
            </w:hyperlink>
          </w:p>
        </w:tc>
        <w:tc>
          <w:tcPr>
            <w:tcW w:w="1583" w:type="dxa"/>
            <w:vMerge/>
            <w:vAlign w:val="center"/>
          </w:tcPr>
          <w:p w14:paraId="02BAF4D6" w14:textId="77777777" w:rsidR="00431A10" w:rsidRPr="00DD53CB" w:rsidRDefault="00431A10" w:rsidP="00CE758C">
            <w:pPr>
              <w:jc w:val="center"/>
              <w:rPr>
                <w:rFonts w:ascii="URW Palladio L" w:hAnsi="URW Palladio L" w:cs="Times New Roman"/>
                <w:sz w:val="16"/>
                <w:szCs w:val="16"/>
              </w:rPr>
            </w:pPr>
          </w:p>
        </w:tc>
      </w:tr>
    </w:tbl>
    <w:p w14:paraId="73DACFDE" w14:textId="492E21E9" w:rsidR="005D241E" w:rsidRDefault="003752BC"/>
    <w:sectPr w:rsidR="005D24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A6B3A" w14:textId="77777777" w:rsidR="003752BC" w:rsidRDefault="003752BC" w:rsidP="00431A10">
      <w:pPr>
        <w:spacing w:after="0" w:line="240" w:lineRule="auto"/>
      </w:pPr>
      <w:r>
        <w:separator/>
      </w:r>
    </w:p>
  </w:endnote>
  <w:endnote w:type="continuationSeparator" w:id="0">
    <w:p w14:paraId="394983FA" w14:textId="77777777" w:rsidR="003752BC" w:rsidRDefault="003752BC" w:rsidP="0043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 Palladio L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D232E" w14:textId="77777777" w:rsidR="003752BC" w:rsidRDefault="003752BC" w:rsidP="00431A10">
      <w:pPr>
        <w:spacing w:after="0" w:line="240" w:lineRule="auto"/>
      </w:pPr>
      <w:r>
        <w:separator/>
      </w:r>
    </w:p>
  </w:footnote>
  <w:footnote w:type="continuationSeparator" w:id="0">
    <w:p w14:paraId="5B439F59" w14:textId="77777777" w:rsidR="003752BC" w:rsidRDefault="003752BC" w:rsidP="00431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10"/>
    <w:rsid w:val="003752BC"/>
    <w:rsid w:val="00431A10"/>
    <w:rsid w:val="006D74FF"/>
    <w:rsid w:val="007B21D9"/>
    <w:rsid w:val="00A7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F6E6"/>
  <w15:chartTrackingRefBased/>
  <w15:docId w15:val="{4D08C288-634C-4716-A553-2B066496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31A1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431A1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2AF3-028E-4BF6-BCAD-1A23E7FB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Gabriel Leiva de Oro</dc:creator>
  <cp:keywords/>
  <dc:description/>
  <cp:lastModifiedBy>Juan Gabriel Leiva de Oro</cp:lastModifiedBy>
  <cp:revision>1</cp:revision>
  <dcterms:created xsi:type="dcterms:W3CDTF">2021-09-02T12:55:00Z</dcterms:created>
  <dcterms:modified xsi:type="dcterms:W3CDTF">2021-09-02T12:57:00Z</dcterms:modified>
</cp:coreProperties>
</file>